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2376488</wp:posOffset>
            </wp:positionH>
            <wp:positionV relativeFrom="paragraph">
              <wp:posOffset>152400</wp:posOffset>
            </wp:positionV>
            <wp:extent cx="1185863" cy="1185863"/>
            <wp:effectExtent b="0" l="0" r="0" t="0"/>
            <wp:wrapSquare wrapText="bothSides" distB="152400" distT="152400" distL="152400" distR="152400"/>
            <wp:docPr id="10737418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TRHS Foundation Meeting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April 12,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The Roosevelt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 Foundation</w:t>
      </w: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 works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 to celebrate </w:t>
      </w: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Roosevelt’s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history and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traditions,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and to support Roosevelt</w:t>
      </w: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 current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faculty</w:t>
      </w:r>
      <w:r w:rsidDel="00000000" w:rsidR="00000000" w:rsidRPr="00000000">
        <w:rPr>
          <w:rFonts w:ascii="Helvetica Neue" w:cs="Helvetica Neue" w:eastAsia="Helvetica Neue" w:hAnsi="Helvetica Neue"/>
          <w:color w:val="2e2e2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&amp; Call to Order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Guests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Nicole Crawford, TRHS, Special Request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Rebecca Coady, Business Horizons, Special Request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Roosevelt for the Generations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” Campaign Consultants + Chairs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Connie Isaacson, Isaacson Syverson, Fundraising Consultant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Jackie Norris, Co-Chair, Roosevelt Parent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Laura Leonard, Co-Chair, Roosevelt Alumni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hanging="393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Brian, Gentry, Co-Chair, Roosevelt Parent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March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Minutes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Treasurer's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Principal’s Report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Reports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Community Events + Fundraising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Alumni Relations + Events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Communications + Marketing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Education + Engagement (formerly Scholarships + Grants Committee)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Capital Campaign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Review Calendar: Committee Activities through Summer 2021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numbering" w:styleId="Numbered">
    <w:name w:val="Numbered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utS2yZ+ZrtrQppqpV9DHnryRyw==">AMUW2mUCtgy2KDczngUhObGEnT1VC0l9zvrAXLkmyDtSB8DenPmAgfcmB+b31QXo3P/PDV42/gMZoJfzPuxI0o9RHDEQnET7MoPyR1j4ZKtuwXsIlevb8Ug=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